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B480" w14:textId="77777777" w:rsidR="00E8189F" w:rsidRDefault="00E8189F">
      <w:pPr>
        <w:rPr>
          <w:rFonts w:ascii="Times New Roman" w:hAnsi="Times New Roman" w:cs="Times New Roman"/>
          <w:sz w:val="28"/>
          <w:szCs w:val="28"/>
        </w:rPr>
      </w:pPr>
      <w:r w:rsidRPr="00E8189F">
        <w:rPr>
          <w:rFonts w:ascii="Times New Roman" w:hAnsi="Times New Roman" w:cs="Times New Roman"/>
          <w:sz w:val="28"/>
          <w:szCs w:val="28"/>
        </w:rPr>
        <w:t>Textes sur la Confianc</w:t>
      </w:r>
      <w:r>
        <w:rPr>
          <w:rFonts w:ascii="Times New Roman" w:hAnsi="Times New Roman" w:cs="Times New Roman"/>
          <w:sz w:val="28"/>
          <w:szCs w:val="28"/>
        </w:rPr>
        <w:t>e</w:t>
      </w:r>
    </w:p>
    <w:p w14:paraId="101E0CBB" w14:textId="385FB8A0" w:rsidR="000F6155" w:rsidRDefault="00E8189F" w:rsidP="00E3076D">
      <w:pPr>
        <w:jc w:val="both"/>
        <w:rPr>
          <w:rFonts w:ascii="Times New Roman" w:hAnsi="Times New Roman" w:cs="Times New Roman"/>
          <w:sz w:val="28"/>
          <w:szCs w:val="28"/>
        </w:rPr>
      </w:pPr>
      <w:r>
        <w:rPr>
          <w:rFonts w:ascii="Times New Roman" w:hAnsi="Times New Roman" w:cs="Times New Roman"/>
          <w:sz w:val="28"/>
          <w:szCs w:val="28"/>
        </w:rPr>
        <w:t>Dans la Bible, Abraham est en quelque sorte le père de la confiance. Poussé par la Parole divine, il consent à quitter la Chaldée en vue d’une promesse.</w:t>
      </w:r>
    </w:p>
    <w:p w14:paraId="673F252B" w14:textId="0719AA2F" w:rsidR="00E8189F" w:rsidRDefault="00E8189F" w:rsidP="00E3076D">
      <w:pPr>
        <w:jc w:val="both"/>
        <w:rPr>
          <w:rFonts w:ascii="Times New Roman" w:hAnsi="Times New Roman" w:cs="Times New Roman"/>
          <w:sz w:val="28"/>
          <w:szCs w:val="28"/>
        </w:rPr>
      </w:pPr>
      <w:r>
        <w:rPr>
          <w:rFonts w:ascii="Times New Roman" w:hAnsi="Times New Roman" w:cs="Times New Roman"/>
          <w:sz w:val="28"/>
          <w:szCs w:val="28"/>
        </w:rPr>
        <w:t>Genèse 15 v. 5-6</w:t>
      </w:r>
    </w:p>
    <w:p w14:paraId="3CDC8DBE" w14:textId="19FC715B" w:rsidR="00E8189F" w:rsidRDefault="00E8189F" w:rsidP="00E3076D">
      <w:pPr>
        <w:jc w:val="both"/>
        <w:rPr>
          <w:rFonts w:ascii="Times New Roman" w:hAnsi="Times New Roman" w:cs="Times New Roman"/>
          <w:sz w:val="28"/>
          <w:szCs w:val="28"/>
        </w:rPr>
      </w:pPr>
      <w:r>
        <w:rPr>
          <w:rFonts w:ascii="Times New Roman" w:hAnsi="Times New Roman" w:cs="Times New Roman"/>
          <w:sz w:val="28"/>
          <w:szCs w:val="28"/>
        </w:rPr>
        <w:t>Yahvé dit : L</w:t>
      </w:r>
      <w:r w:rsidR="00345A4E">
        <w:rPr>
          <w:rFonts w:ascii="Times New Roman" w:hAnsi="Times New Roman" w:cs="Times New Roman"/>
          <w:sz w:val="28"/>
          <w:szCs w:val="28"/>
        </w:rPr>
        <w:t>è</w:t>
      </w:r>
      <w:r>
        <w:rPr>
          <w:rFonts w:ascii="Times New Roman" w:hAnsi="Times New Roman" w:cs="Times New Roman"/>
          <w:sz w:val="28"/>
          <w:szCs w:val="28"/>
        </w:rPr>
        <w:t>ve les yeux au ciel et dénombre les étoiles si tu peux les dénombrer » et il lui dit : « telle sera ta postérité ». Abram crut en Yahvé qui le lui compta comme justice.</w:t>
      </w:r>
    </w:p>
    <w:p w14:paraId="25A1ABDE" w14:textId="596DE951" w:rsidR="00E8189F" w:rsidRDefault="00E8189F" w:rsidP="00E3076D">
      <w:pPr>
        <w:jc w:val="both"/>
        <w:rPr>
          <w:rFonts w:ascii="Times New Roman" w:hAnsi="Times New Roman" w:cs="Times New Roman"/>
          <w:sz w:val="28"/>
          <w:szCs w:val="28"/>
        </w:rPr>
      </w:pPr>
      <w:r>
        <w:rPr>
          <w:rFonts w:ascii="Times New Roman" w:hAnsi="Times New Roman" w:cs="Times New Roman"/>
          <w:sz w:val="28"/>
          <w:szCs w:val="28"/>
        </w:rPr>
        <w:t>Genèse 22 Le sacrifice d’Isaac est un des sommets de</w:t>
      </w:r>
      <w:r w:rsidR="005F0F6F">
        <w:rPr>
          <w:rFonts w:ascii="Times New Roman" w:hAnsi="Times New Roman" w:cs="Times New Roman"/>
          <w:sz w:val="28"/>
          <w:szCs w:val="28"/>
        </w:rPr>
        <w:t xml:space="preserve"> l</w:t>
      </w:r>
      <w:r>
        <w:rPr>
          <w:rFonts w:ascii="Times New Roman" w:hAnsi="Times New Roman" w:cs="Times New Roman"/>
          <w:sz w:val="28"/>
          <w:szCs w:val="28"/>
        </w:rPr>
        <w:t>’acte de confiance</w:t>
      </w:r>
      <w:r w:rsidR="00E3076D">
        <w:rPr>
          <w:rFonts w:ascii="Times New Roman" w:hAnsi="Times New Roman" w:cs="Times New Roman"/>
          <w:sz w:val="28"/>
          <w:szCs w:val="28"/>
        </w:rPr>
        <w:t xml:space="preserve"> humain.</w:t>
      </w:r>
    </w:p>
    <w:p w14:paraId="0EE0522A" w14:textId="004D4F9C" w:rsidR="00E3076D" w:rsidRDefault="00E3076D" w:rsidP="00E3076D">
      <w:pPr>
        <w:jc w:val="both"/>
        <w:rPr>
          <w:rFonts w:ascii="Times New Roman" w:hAnsi="Times New Roman" w:cs="Times New Roman"/>
          <w:sz w:val="28"/>
          <w:szCs w:val="28"/>
        </w:rPr>
      </w:pPr>
      <w:r>
        <w:rPr>
          <w:rFonts w:ascii="Times New Roman" w:hAnsi="Times New Roman" w:cs="Times New Roman"/>
          <w:sz w:val="28"/>
          <w:szCs w:val="28"/>
        </w:rPr>
        <w:t>Dieu s’adresse à Abraham pour lui demander un acte qui semble un défi à l’humanité. Dieu lui a fait unilatéralement confiance en lui permettant d’avoir un fils de Sara et Abraham dans un acte de confiance absolue répond : « Me voici ». Il y a eu échange de parole entre l’homme et Dieu et cet échange scelle la confiance.</w:t>
      </w:r>
    </w:p>
    <w:p w14:paraId="5E4BA261" w14:textId="1E1EF7B9" w:rsidR="005F0F6F" w:rsidRDefault="005F0F6F" w:rsidP="00E3076D">
      <w:pPr>
        <w:jc w:val="both"/>
        <w:rPr>
          <w:rFonts w:ascii="Times New Roman" w:hAnsi="Times New Roman" w:cs="Times New Roman"/>
          <w:sz w:val="28"/>
          <w:szCs w:val="28"/>
        </w:rPr>
      </w:pPr>
      <w:r>
        <w:rPr>
          <w:rFonts w:ascii="Times New Roman" w:hAnsi="Times New Roman" w:cs="Times New Roman"/>
          <w:sz w:val="28"/>
          <w:szCs w:val="28"/>
        </w:rPr>
        <w:t>Dans le Nouveau Testament, chaque fois que le Christ fait un miracle, c’est un miracle de la confiance</w:t>
      </w:r>
      <w:r w:rsidR="00B37E93">
        <w:rPr>
          <w:rFonts w:ascii="Times New Roman" w:hAnsi="Times New Roman" w:cs="Times New Roman"/>
          <w:sz w:val="28"/>
          <w:szCs w:val="28"/>
        </w:rPr>
        <w:t>. La foi en Dieu est la forme première de la confiance (fides des Latins, pistis des Grecs). Le verbe fait chair se révèle</w:t>
      </w:r>
      <w:r w:rsidR="0057102A">
        <w:rPr>
          <w:rFonts w:ascii="Times New Roman" w:hAnsi="Times New Roman" w:cs="Times New Roman"/>
          <w:sz w:val="28"/>
          <w:szCs w:val="28"/>
        </w:rPr>
        <w:t xml:space="preserve"> </w:t>
      </w:r>
      <w:r w:rsidR="00B37E93">
        <w:rPr>
          <w:rFonts w:ascii="Times New Roman" w:hAnsi="Times New Roman" w:cs="Times New Roman"/>
          <w:sz w:val="28"/>
          <w:szCs w:val="28"/>
        </w:rPr>
        <w:t>et s’inscrit dans l’Histoire d’abord par l’Ecriture</w:t>
      </w:r>
      <w:r w:rsidR="0057102A">
        <w:rPr>
          <w:rFonts w:ascii="Times New Roman" w:hAnsi="Times New Roman" w:cs="Times New Roman"/>
          <w:sz w:val="28"/>
          <w:szCs w:val="28"/>
        </w:rPr>
        <w:t xml:space="preserve"> et dans l’Incarnation. </w:t>
      </w:r>
    </w:p>
    <w:p w14:paraId="559B1848" w14:textId="750141E7" w:rsidR="006F7EA1" w:rsidRDefault="00852013" w:rsidP="00E3076D">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1E0D189" wp14:editId="441BE313">
                <wp:simplePos x="0" y="0"/>
                <wp:positionH relativeFrom="column">
                  <wp:posOffset>2231666</wp:posOffset>
                </wp:positionH>
                <wp:positionV relativeFrom="paragraph">
                  <wp:posOffset>88900</wp:posOffset>
                </wp:positionV>
                <wp:extent cx="914400" cy="914400"/>
                <wp:effectExtent l="19050" t="38100" r="19050" b="38100"/>
                <wp:wrapNone/>
                <wp:docPr id="1427499109" name="Étoile : 5 branches 1"/>
                <wp:cNvGraphicFramePr/>
                <a:graphic xmlns:a="http://schemas.openxmlformats.org/drawingml/2006/main">
                  <a:graphicData uri="http://schemas.microsoft.com/office/word/2010/wordprocessingShape">
                    <wps:wsp>
                      <wps:cNvSpPr/>
                      <wps:spPr>
                        <a:xfrm>
                          <a:off x="0" y="0"/>
                          <a:ext cx="914400" cy="91440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1337D" id="Étoile : 5 branches 1" o:spid="_x0000_s1026" style="position:absolute;margin-left:175.7pt;margin-top:7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" path="m1,349269r349271,2l457200,,565128,349271r349271,-2l631832,565128,739765,914398,457200,698535,174635,914398,282568,565128,1,349269xe" fillcolor="#4472c4 [3204]" strokecolor="#09101d [484]" strokeweight="1pt">
                <v:stroke joinstyle="miter"/>
                <v:path arrowok="t" o:connecttype="custom" o:connectlocs="1,349269;349272,349271;457200,0;565128,349271;914399,349269;631832,565128;739765,914398;457200,698535;174635,914398;282568,565128;1,349269" o:connectangles="0,0,0,0,0,0,0,0,0,0,0"/>
              </v:shape>
            </w:pict>
          </mc:Fallback>
        </mc:AlternateContent>
      </w:r>
    </w:p>
    <w:p w14:paraId="791D602F" w14:textId="12E7CCEF" w:rsidR="00852013" w:rsidRDefault="00852013" w:rsidP="00E3076D">
      <w:pPr>
        <w:jc w:val="both"/>
        <w:rPr>
          <w:rFonts w:ascii="Times New Roman" w:hAnsi="Times New Roman" w:cs="Times New Roman"/>
          <w:sz w:val="28"/>
          <w:szCs w:val="28"/>
        </w:rPr>
      </w:pPr>
    </w:p>
    <w:p w14:paraId="511D498B" w14:textId="4EBC0FF6" w:rsidR="00852013" w:rsidRDefault="00852013" w:rsidP="00E3076D">
      <w:pPr>
        <w:jc w:val="both"/>
        <w:rPr>
          <w:rFonts w:ascii="Times New Roman" w:hAnsi="Times New Roman" w:cs="Times New Roman"/>
          <w:sz w:val="28"/>
          <w:szCs w:val="28"/>
        </w:rPr>
      </w:pPr>
    </w:p>
    <w:p w14:paraId="3EED1ACF" w14:textId="424AFCF2" w:rsidR="00852013" w:rsidRDefault="00852013" w:rsidP="00E3076D">
      <w:pPr>
        <w:jc w:val="both"/>
        <w:rPr>
          <w:rFonts w:ascii="Times New Roman" w:hAnsi="Times New Roman" w:cs="Times New Roman"/>
          <w:sz w:val="28"/>
          <w:szCs w:val="28"/>
        </w:rPr>
      </w:pPr>
    </w:p>
    <w:p w14:paraId="186CE9CA" w14:textId="45A5642F" w:rsidR="006F7EA1" w:rsidRDefault="006F7EA1" w:rsidP="00E3076D">
      <w:pPr>
        <w:jc w:val="both"/>
        <w:rPr>
          <w:rFonts w:ascii="Times New Roman" w:hAnsi="Times New Roman" w:cs="Times New Roman"/>
          <w:sz w:val="28"/>
          <w:szCs w:val="28"/>
        </w:rPr>
      </w:pPr>
      <w:r>
        <w:rPr>
          <w:rFonts w:ascii="Times New Roman" w:hAnsi="Times New Roman" w:cs="Times New Roman"/>
          <w:sz w:val="28"/>
          <w:szCs w:val="28"/>
        </w:rPr>
        <w:t>Réflexion tirée de Cairn</w:t>
      </w:r>
      <w:r w:rsidR="00852013">
        <w:rPr>
          <w:rFonts w:ascii="Times New Roman" w:hAnsi="Times New Roman" w:cs="Times New Roman"/>
          <w:sz w:val="28"/>
          <w:szCs w:val="28"/>
        </w:rPr>
        <w:t xml:space="preserve"> (publications Sciences Humaines et Sociales)</w:t>
      </w:r>
      <w:r>
        <w:rPr>
          <w:rFonts w:ascii="Times New Roman" w:hAnsi="Times New Roman" w:cs="Times New Roman"/>
          <w:sz w:val="28"/>
          <w:szCs w:val="28"/>
        </w:rPr>
        <w:t xml:space="preserve"> </w:t>
      </w:r>
      <w:r w:rsidR="002E6604">
        <w:rPr>
          <w:rFonts w:ascii="Times New Roman" w:hAnsi="Times New Roman" w:cs="Times New Roman"/>
          <w:sz w:val="28"/>
          <w:szCs w:val="28"/>
        </w:rPr>
        <w:t xml:space="preserve">par    </w:t>
      </w:r>
      <w:r w:rsidR="002E6604" w:rsidRPr="002E6604">
        <w:rPr>
          <w:rFonts w:ascii="Times New Roman" w:hAnsi="Times New Roman" w:cs="Times New Roman"/>
          <w:sz w:val="28"/>
          <w:szCs w:val="28"/>
        </w:rPr>
        <w:t>O. L. et J.-Ph. V.</w:t>
      </w:r>
      <w:r w:rsidR="002E6604">
        <w:rPr>
          <w:rFonts w:ascii="Times New Roman" w:hAnsi="Times New Roman" w:cs="Times New Roman"/>
          <w:sz w:val="28"/>
          <w:szCs w:val="28"/>
        </w:rPr>
        <w:t xml:space="preserve">ar </w:t>
      </w:r>
    </w:p>
    <w:p w14:paraId="482486F4" w14:textId="1F303039" w:rsidR="006F7EA1" w:rsidRDefault="00852013" w:rsidP="00E3076D">
      <w:pPr>
        <w:jc w:val="both"/>
        <w:rPr>
          <w:rFonts w:ascii="Times New Roman" w:hAnsi="Times New Roman" w:cs="Times New Roman"/>
          <w:sz w:val="28"/>
          <w:szCs w:val="28"/>
        </w:rPr>
      </w:pPr>
      <w:r>
        <w:rPr>
          <w:rFonts w:ascii="Times New Roman" w:hAnsi="Times New Roman" w:cs="Times New Roman"/>
          <w:sz w:val="28"/>
          <w:szCs w:val="28"/>
        </w:rPr>
        <w:t xml:space="preserve">                                                </w:t>
      </w:r>
    </w:p>
    <w:p w14:paraId="4510502B" w14:textId="5557B230" w:rsidR="0057102A" w:rsidRDefault="002E6604" w:rsidP="00E3076D">
      <w:pPr>
        <w:jc w:val="both"/>
        <w:rPr>
          <w:rFonts w:ascii="Times New Roman" w:hAnsi="Times New Roman" w:cs="Times New Roman"/>
          <w:sz w:val="28"/>
          <w:szCs w:val="28"/>
        </w:rPr>
      </w:pPr>
      <w:r>
        <w:rPr>
          <w:rFonts w:ascii="Times New Roman" w:hAnsi="Times New Roman" w:cs="Times New Roman"/>
          <w:sz w:val="28"/>
          <w:szCs w:val="28"/>
        </w:rPr>
        <w:t>« </w:t>
      </w:r>
      <w:r w:rsidR="006F7EA1" w:rsidRPr="006F7EA1">
        <w:rPr>
          <w:rFonts w:ascii="Times New Roman" w:hAnsi="Times New Roman" w:cs="Times New Roman"/>
          <w:sz w:val="28"/>
          <w:szCs w:val="28"/>
        </w:rPr>
        <w:t xml:space="preserve">Telle est, évidemment à très grands traits, la confiance sacrée. Mais à côté d’elle, quoique non séparée d’elle, il y a la confiance humaine ou profane. En quoi ces deux types de confiance se distinguent-ils ? La confiance sacrée est un don surnaturel, une grâce absolue. La confiance humaine n’est pas du même ordre : elle est un contrat implicite entre deux égaux qui se donnent leur parole et vivent de ce fait une amitié plus ou moins intime. L’amitié est le signe de la confiance profane de la même façon que l’alliance et la croix sont les signes de la confiance sacrée. Certes, dans l’amitié humaine comme fruit de la confiance, les hommes font l’expérience de ce que peut être « l’amour d’amitié », c’est-à-dire la charité. Mais il ne s’agit que d’une expérience partielle. L’absence de confiance sacrée et </w:t>
      </w:r>
      <w:r w:rsidR="006F7EA1" w:rsidRPr="006F7EA1">
        <w:rPr>
          <w:rFonts w:ascii="Times New Roman" w:hAnsi="Times New Roman" w:cs="Times New Roman"/>
          <w:sz w:val="28"/>
          <w:szCs w:val="28"/>
        </w:rPr>
        <w:lastRenderedPageBreak/>
        <w:t>l’envers de la foi s’appellent péché, alors que l’absence de confiance humaine s’appelle méfiance ou défiance. Ce sont surtout les conditions de la construction de la confiance humaine qui diffèrent. La confiance sacrée est un don. La confiance profane est une éducation et c’est là que les enseignements de la littérature apparaissent singulièrement précieux</w:t>
      </w:r>
      <w:r>
        <w:rPr>
          <w:rFonts w:ascii="Times New Roman" w:hAnsi="Times New Roman" w:cs="Times New Roman"/>
          <w:sz w:val="28"/>
          <w:szCs w:val="28"/>
        </w:rPr>
        <w:t>. »</w:t>
      </w:r>
    </w:p>
    <w:p w14:paraId="7E275E45" w14:textId="77777777" w:rsidR="006F7EA1" w:rsidRDefault="006F7EA1" w:rsidP="00E3076D">
      <w:pPr>
        <w:jc w:val="both"/>
        <w:rPr>
          <w:rFonts w:ascii="Times New Roman" w:hAnsi="Times New Roman" w:cs="Times New Roman"/>
          <w:sz w:val="28"/>
          <w:szCs w:val="28"/>
        </w:rPr>
      </w:pPr>
    </w:p>
    <w:p w14:paraId="2A23824C" w14:textId="1D86CBFF" w:rsidR="006F7EA1" w:rsidRDefault="00852013" w:rsidP="00E3076D">
      <w:pPr>
        <w:jc w:val="both"/>
        <w:rPr>
          <w:rFonts w:ascii="Times New Roman" w:hAnsi="Times New Roman" w:cs="Times New Roman"/>
          <w:sz w:val="28"/>
          <w:szCs w:val="28"/>
        </w:rPr>
      </w:pPr>
      <w:r>
        <w:rPr>
          <w:rFonts w:ascii="Times New Roman" w:hAnsi="Times New Roman" w:cs="Times New Roman"/>
          <w:sz w:val="28"/>
          <w:szCs w:val="28"/>
        </w:rPr>
        <w:t>Conclusion</w:t>
      </w:r>
    </w:p>
    <w:p w14:paraId="2F0927B1" w14:textId="5AA4E228" w:rsidR="00345A4E" w:rsidRPr="00E8189F" w:rsidRDefault="006F7EA1" w:rsidP="00E3076D">
      <w:pPr>
        <w:jc w:val="both"/>
        <w:rPr>
          <w:rFonts w:ascii="Times New Roman" w:hAnsi="Times New Roman" w:cs="Times New Roman"/>
          <w:sz w:val="28"/>
          <w:szCs w:val="28"/>
        </w:rPr>
      </w:pPr>
      <w:r w:rsidRPr="006F7EA1">
        <w:rPr>
          <w:rFonts w:ascii="Times New Roman" w:hAnsi="Times New Roman" w:cs="Times New Roman"/>
          <w:sz w:val="28"/>
          <w:szCs w:val="28"/>
        </w:rPr>
        <w:t>La confiance aujourd’hui est souvent altérée par la défiance voire la méfiance dans tous les domaines de la société (famille, économie, soins, politique, religion, institutions). Comment construire la confiance ? Quelles sont les conditions dans le monde profane pour qu’elle puisse se réaliser ? Mettre au cœur des enjeux la relation humaine.</w:t>
      </w:r>
    </w:p>
    <w:sectPr w:rsidR="00345A4E" w:rsidRPr="00E818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7173" w14:textId="77777777" w:rsidR="007B39BA" w:rsidRDefault="007B39BA" w:rsidP="006F7EA1">
      <w:pPr>
        <w:spacing w:after="0" w:line="240" w:lineRule="auto"/>
      </w:pPr>
      <w:r>
        <w:separator/>
      </w:r>
    </w:p>
  </w:endnote>
  <w:endnote w:type="continuationSeparator" w:id="0">
    <w:p w14:paraId="043CB1A5" w14:textId="77777777" w:rsidR="007B39BA" w:rsidRDefault="007B39BA" w:rsidP="006F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DE74" w14:textId="77777777" w:rsidR="007B39BA" w:rsidRDefault="007B39BA" w:rsidP="006F7EA1">
      <w:pPr>
        <w:spacing w:after="0" w:line="240" w:lineRule="auto"/>
      </w:pPr>
      <w:r>
        <w:separator/>
      </w:r>
    </w:p>
  </w:footnote>
  <w:footnote w:type="continuationSeparator" w:id="0">
    <w:p w14:paraId="1FE13651" w14:textId="77777777" w:rsidR="007B39BA" w:rsidRDefault="007B39BA" w:rsidP="006F7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9F"/>
    <w:rsid w:val="00011110"/>
    <w:rsid w:val="000F6155"/>
    <w:rsid w:val="001D2383"/>
    <w:rsid w:val="002E6604"/>
    <w:rsid w:val="00345A4E"/>
    <w:rsid w:val="004717C4"/>
    <w:rsid w:val="0057102A"/>
    <w:rsid w:val="005F0F6F"/>
    <w:rsid w:val="006F7EA1"/>
    <w:rsid w:val="007B39BA"/>
    <w:rsid w:val="00852013"/>
    <w:rsid w:val="00AC4A0A"/>
    <w:rsid w:val="00B37E93"/>
    <w:rsid w:val="00B54DE5"/>
    <w:rsid w:val="00D909F1"/>
    <w:rsid w:val="00DD6C06"/>
    <w:rsid w:val="00E3076D"/>
    <w:rsid w:val="00E81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2DA8"/>
  <w15:chartTrackingRefBased/>
  <w15:docId w15:val="{610BF388-542B-4C0F-8E97-EE8EB38E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1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1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18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18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18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18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18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18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18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18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18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18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18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18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18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18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18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189F"/>
    <w:rPr>
      <w:rFonts w:eastAsiaTheme="majorEastAsia" w:cstheme="majorBidi"/>
      <w:color w:val="272727" w:themeColor="text1" w:themeTint="D8"/>
    </w:rPr>
  </w:style>
  <w:style w:type="paragraph" w:styleId="Titre">
    <w:name w:val="Title"/>
    <w:basedOn w:val="Normal"/>
    <w:next w:val="Normal"/>
    <w:link w:val="TitreCar"/>
    <w:uiPriority w:val="10"/>
    <w:qFormat/>
    <w:rsid w:val="00E81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18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18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18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189F"/>
    <w:pPr>
      <w:spacing w:before="160"/>
      <w:jc w:val="center"/>
    </w:pPr>
    <w:rPr>
      <w:i/>
      <w:iCs/>
      <w:color w:val="404040" w:themeColor="text1" w:themeTint="BF"/>
    </w:rPr>
  </w:style>
  <w:style w:type="character" w:customStyle="1" w:styleId="CitationCar">
    <w:name w:val="Citation Car"/>
    <w:basedOn w:val="Policepardfaut"/>
    <w:link w:val="Citation"/>
    <w:uiPriority w:val="29"/>
    <w:rsid w:val="00E8189F"/>
    <w:rPr>
      <w:i/>
      <w:iCs/>
      <w:color w:val="404040" w:themeColor="text1" w:themeTint="BF"/>
    </w:rPr>
  </w:style>
  <w:style w:type="paragraph" w:styleId="Paragraphedeliste">
    <w:name w:val="List Paragraph"/>
    <w:basedOn w:val="Normal"/>
    <w:uiPriority w:val="34"/>
    <w:qFormat/>
    <w:rsid w:val="00E8189F"/>
    <w:pPr>
      <w:ind w:left="720"/>
      <w:contextualSpacing/>
    </w:pPr>
  </w:style>
  <w:style w:type="character" w:styleId="Accentuationintense">
    <w:name w:val="Intense Emphasis"/>
    <w:basedOn w:val="Policepardfaut"/>
    <w:uiPriority w:val="21"/>
    <w:qFormat/>
    <w:rsid w:val="00E8189F"/>
    <w:rPr>
      <w:i/>
      <w:iCs/>
      <w:color w:val="2F5496" w:themeColor="accent1" w:themeShade="BF"/>
    </w:rPr>
  </w:style>
  <w:style w:type="paragraph" w:styleId="Citationintense">
    <w:name w:val="Intense Quote"/>
    <w:basedOn w:val="Normal"/>
    <w:next w:val="Normal"/>
    <w:link w:val="CitationintenseCar"/>
    <w:uiPriority w:val="30"/>
    <w:qFormat/>
    <w:rsid w:val="00E81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189F"/>
    <w:rPr>
      <w:i/>
      <w:iCs/>
      <w:color w:val="2F5496" w:themeColor="accent1" w:themeShade="BF"/>
    </w:rPr>
  </w:style>
  <w:style w:type="character" w:styleId="Rfrenceintense">
    <w:name w:val="Intense Reference"/>
    <w:basedOn w:val="Policepardfaut"/>
    <w:uiPriority w:val="32"/>
    <w:qFormat/>
    <w:rsid w:val="00E8189F"/>
    <w:rPr>
      <w:b/>
      <w:bCs/>
      <w:smallCaps/>
      <w:color w:val="2F5496" w:themeColor="accent1" w:themeShade="BF"/>
      <w:spacing w:val="5"/>
    </w:rPr>
  </w:style>
  <w:style w:type="paragraph" w:styleId="En-tte">
    <w:name w:val="header"/>
    <w:basedOn w:val="Normal"/>
    <w:link w:val="En-tteCar"/>
    <w:uiPriority w:val="99"/>
    <w:unhideWhenUsed/>
    <w:rsid w:val="006F7EA1"/>
    <w:pPr>
      <w:tabs>
        <w:tab w:val="center" w:pos="4536"/>
        <w:tab w:val="right" w:pos="9072"/>
      </w:tabs>
      <w:spacing w:after="0" w:line="240" w:lineRule="auto"/>
    </w:pPr>
  </w:style>
  <w:style w:type="character" w:customStyle="1" w:styleId="En-tteCar">
    <w:name w:val="En-tête Car"/>
    <w:basedOn w:val="Policepardfaut"/>
    <w:link w:val="En-tte"/>
    <w:uiPriority w:val="99"/>
    <w:rsid w:val="006F7EA1"/>
  </w:style>
  <w:style w:type="paragraph" w:styleId="Pieddepage">
    <w:name w:val="footer"/>
    <w:basedOn w:val="Normal"/>
    <w:link w:val="PieddepageCar"/>
    <w:uiPriority w:val="99"/>
    <w:unhideWhenUsed/>
    <w:rsid w:val="006F7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DEGENEVE</dc:creator>
  <cp:keywords/>
  <dc:description/>
  <cp:lastModifiedBy>Pascale DEGENEVE</cp:lastModifiedBy>
  <cp:revision>6</cp:revision>
  <dcterms:created xsi:type="dcterms:W3CDTF">2025-12-08T14:32:00Z</dcterms:created>
  <dcterms:modified xsi:type="dcterms:W3CDTF">2025-12-08T19:05:00Z</dcterms:modified>
</cp:coreProperties>
</file>